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534"/>
        <w:gridCol w:w="418"/>
        <w:gridCol w:w="632"/>
        <w:gridCol w:w="631"/>
        <w:gridCol w:w="631"/>
        <w:gridCol w:w="630"/>
        <w:gridCol w:w="818"/>
        <w:gridCol w:w="561"/>
        <w:gridCol w:w="4500"/>
      </w:tblGrid>
      <w:tr w:rsidR="00B23D00" w:rsidRPr="00B23D00" w:rsidTr="00B15D85">
        <w:tc>
          <w:tcPr>
            <w:tcW w:w="9355" w:type="dxa"/>
            <w:gridSpan w:val="9"/>
            <w:shd w:val="clear" w:color="auto" w:fill="FF99FF"/>
          </w:tcPr>
          <w:p w:rsidR="00B23D00" w:rsidRPr="00B15D85" w:rsidRDefault="00B23D00" w:rsidP="00B15D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между типом реакции и уравнением, по которому она протекает.</w:t>
            </w:r>
          </w:p>
        </w:tc>
      </w:tr>
      <w:tr w:rsidR="00B23D00" w:rsidRPr="00B23D00" w:rsidTr="00B15D85">
        <w:tc>
          <w:tcPr>
            <w:tcW w:w="4294" w:type="dxa"/>
            <w:gridSpan w:val="7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РЕАКЦИИ </w:t>
            </w:r>
          </w:p>
        </w:tc>
        <w:tc>
          <w:tcPr>
            <w:tcW w:w="5061" w:type="dxa"/>
            <w:gridSpan w:val="2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РЕАКЦИИ</w:t>
            </w:r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эндотермическая</w:t>
            </w: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3Fe + 2O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Fe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экзотермическая</w:t>
            </w: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+ 5O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3CO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+ 4H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обмена, обратимая</w:t>
            </w: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 + KOH = CH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OH + </w:t>
            </w:r>
            <w:proofErr w:type="spellStart"/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обмена, необратимая</w:t>
            </w: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HCOOCH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= HCOOH + CH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3D00" w:rsidRPr="00B23D00" w:rsidTr="00B15D85">
        <w:tc>
          <w:tcPr>
            <w:tcW w:w="534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gridSpan w:val="6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4500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 + 2HBr = MgBr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</w:tc>
      </w:tr>
      <w:tr w:rsidR="00B23D00" w:rsidRPr="00B23D00" w:rsidTr="00B15D85">
        <w:tblPrEx>
          <w:tblBorders>
            <w:top w:val="single" w:sz="4" w:space="0" w:color="auto"/>
          </w:tblBorders>
        </w:tblPrEx>
        <w:trPr>
          <w:gridAfter w:val="3"/>
          <w:wAfter w:w="5879" w:type="dxa"/>
        </w:trPr>
        <w:tc>
          <w:tcPr>
            <w:tcW w:w="9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B23D00" w:rsidRPr="00B23D00" w:rsidTr="00B15D85">
        <w:tblPrEx>
          <w:tblBorders>
            <w:top w:val="single" w:sz="4" w:space="0" w:color="auto"/>
          </w:tblBorders>
        </w:tblPrEx>
        <w:trPr>
          <w:gridAfter w:val="3"/>
          <w:wAfter w:w="5879" w:type="dxa"/>
        </w:trPr>
        <w:tc>
          <w:tcPr>
            <w:tcW w:w="952" w:type="dxa"/>
            <w:gridSpan w:val="2"/>
            <w:vMerge/>
            <w:tcBorders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5D85" w:rsidRDefault="00B15D85" w:rsidP="00B15D85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15D8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По подготовке к ЕГЭ:  </w:t>
      </w:r>
    </w:p>
    <w:p w:rsidR="00B15D85" w:rsidRPr="00B15D85" w:rsidRDefault="00B15D85" w:rsidP="00B15D85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15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нашем сайте есть файл «тесты для самоподготовки» и ссылка на сайт</w:t>
      </w:r>
      <w:r w:rsidRPr="00B15D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hyperlink r:id="rId5" w:history="1">
        <w:r w:rsidRPr="00B15D85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https://ege.yandex.ru/chemistry/</w:t>
        </w:r>
      </w:hyperlink>
      <w:r w:rsidR="00324379" w:rsidRPr="00B15D8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DF529F" w:rsidRPr="00B15D85" w:rsidRDefault="00B15D85" w:rsidP="00B15D85">
      <w:pPr>
        <w:shd w:val="clear" w:color="auto" w:fill="FFFFFF" w:themeFill="background1"/>
        <w:rPr>
          <w:sz w:val="28"/>
          <w:szCs w:val="28"/>
        </w:rPr>
      </w:pPr>
      <w:r w:rsidRPr="00B1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ещё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  <w:r w:rsidR="00324379" w:rsidRPr="00B1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567"/>
        <w:gridCol w:w="567"/>
        <w:gridCol w:w="567"/>
        <w:gridCol w:w="6280"/>
        <w:gridCol w:w="438"/>
      </w:tblGrid>
      <w:tr w:rsidR="00B23D00" w:rsidRPr="00B23D00" w:rsidTr="00B23D00">
        <w:tc>
          <w:tcPr>
            <w:tcW w:w="9570" w:type="dxa"/>
            <w:gridSpan w:val="6"/>
            <w:shd w:val="clear" w:color="auto" w:fill="FF99FF"/>
          </w:tcPr>
          <w:p w:rsidR="00B23D00" w:rsidRPr="00B15D85" w:rsidRDefault="00B23D00" w:rsidP="00B15D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>Для системы: СО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(г)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+ 2Н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2(г)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D85">
              <w:object w:dxaOrig="480" w:dyaOrig="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 fillcolor="window">
                  <v:imagedata r:id="rId6" o:title=""/>
                </v:shape>
                <o:OLEObject Type="Embed" ProgID="Word.Picture.8" ShapeID="_x0000_i1025" DrawAspect="Content" ObjectID="_1548061869" r:id="rId7"/>
              </w:objec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(г)</w:t>
            </w:r>
            <w:r w:rsidRPr="00B15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Q, справедливы утверждения: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давления увеличивает скорость образования метанола 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концентрации водорода не влияет на скорость образования метанола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катализатора не влияет на смещение равновесия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при увеличении давления равновесие смещается в сторону обратной реакции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концентрации оксида углерода (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) смещает равновесие в сторону прямой реакции</w:t>
            </w:r>
          </w:p>
        </w:tc>
      </w:tr>
      <w:tr w:rsidR="00B23D00" w:rsidRPr="00B23D00" w:rsidTr="00B23D00">
        <w:trPr>
          <w:gridAfter w:val="1"/>
          <w:wAfter w:w="450" w:type="dxa"/>
        </w:trPr>
        <w:tc>
          <w:tcPr>
            <w:tcW w:w="9120" w:type="dxa"/>
            <w:gridSpan w:val="5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при уменьшении температуры равновесие смещается в сторону исходных веществ</w:t>
            </w:r>
          </w:p>
        </w:tc>
      </w:tr>
      <w:tr w:rsidR="00B23D00" w:rsidRPr="00B23D00" w:rsidTr="00B1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10" w:type="dxa"/>
        </w:trPr>
        <w:tc>
          <w:tcPr>
            <w:tcW w:w="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75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F99FF"/>
          </w:tcPr>
          <w:p w:rsidR="00B23D00" w:rsidRPr="00B23D00" w:rsidRDefault="00B23D00" w:rsidP="00B15D8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D00" w:rsidRDefault="00B23D00" w:rsidP="00B15D85"/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465"/>
        <w:gridCol w:w="575"/>
        <w:gridCol w:w="3174"/>
        <w:gridCol w:w="449"/>
        <w:gridCol w:w="4225"/>
      </w:tblGrid>
      <w:tr w:rsidR="00B23D00" w:rsidRPr="00B23D00" w:rsidTr="00B15D85">
        <w:trPr>
          <w:trHeight w:val="282"/>
        </w:trPr>
        <w:tc>
          <w:tcPr>
            <w:tcW w:w="9570" w:type="dxa"/>
            <w:gridSpan w:val="6"/>
            <w:shd w:val="clear" w:color="auto" w:fill="FFFFFF" w:themeFill="background1"/>
          </w:tcPr>
          <w:p w:rsidR="00B23D00" w:rsidRPr="00B23D00" w:rsidRDefault="00B15D8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B23D00" w:rsidRPr="00B23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3D00"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количество гидроксид-ионов содержится в 100 мл 0,01М раствора</w:t>
            </w:r>
          </w:p>
        </w:tc>
      </w:tr>
      <w:tr w:rsidR="00B23D00" w:rsidRPr="00B23D00" w:rsidTr="00B15D85">
        <w:trPr>
          <w:trHeight w:val="282"/>
        </w:trPr>
        <w:tc>
          <w:tcPr>
            <w:tcW w:w="467" w:type="dxa"/>
            <w:shd w:val="clear" w:color="auto" w:fill="FFFFFF" w:themeFill="background1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16" w:type="dxa"/>
            <w:gridSpan w:val="3"/>
            <w:shd w:val="clear" w:color="auto" w:fill="auto"/>
          </w:tcPr>
          <w:p w:rsidR="00B23D00" w:rsidRPr="00B23D00" w:rsidRDefault="00B23D00" w:rsidP="00B15D85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450" w:type="dxa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37" w:type="dxa"/>
          </w:tcPr>
          <w:p w:rsidR="00B23D00" w:rsidRPr="00B23D00" w:rsidRDefault="00B23D00" w:rsidP="00B15D85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диметиламина</w:t>
            </w:r>
          </w:p>
        </w:tc>
      </w:tr>
      <w:tr w:rsidR="00B23D00" w:rsidRPr="00B23D00" w:rsidTr="005348E6">
        <w:trPr>
          <w:trHeight w:val="282"/>
        </w:trPr>
        <w:tc>
          <w:tcPr>
            <w:tcW w:w="467" w:type="dxa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16" w:type="dxa"/>
            <w:gridSpan w:val="3"/>
          </w:tcPr>
          <w:p w:rsidR="00B23D00" w:rsidRPr="00B23D00" w:rsidRDefault="00B23D00" w:rsidP="00B15D85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триметиламина</w:t>
            </w:r>
          </w:p>
        </w:tc>
        <w:tc>
          <w:tcPr>
            <w:tcW w:w="450" w:type="dxa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37" w:type="dxa"/>
          </w:tcPr>
          <w:p w:rsidR="00B23D00" w:rsidRPr="00B23D00" w:rsidRDefault="00B23D00" w:rsidP="00B15D85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метиламина</w:t>
            </w:r>
          </w:p>
        </w:tc>
      </w:tr>
      <w:tr w:rsidR="00B23D00" w:rsidRPr="00B23D00" w:rsidTr="00534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8060" w:type="dxa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</w:tcBorders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75" w:type="dxa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D00" w:rsidRDefault="00B23D00" w:rsidP="00B15D85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48"/>
        <w:gridCol w:w="409"/>
        <w:gridCol w:w="632"/>
        <w:gridCol w:w="631"/>
        <w:gridCol w:w="631"/>
        <w:gridCol w:w="630"/>
        <w:gridCol w:w="817"/>
        <w:gridCol w:w="560"/>
        <w:gridCol w:w="4515"/>
      </w:tblGrid>
      <w:tr w:rsidR="00B23D00" w:rsidRPr="00B23D00" w:rsidTr="00B15D85">
        <w:tc>
          <w:tcPr>
            <w:tcW w:w="9888" w:type="dxa"/>
            <w:gridSpan w:val="9"/>
            <w:shd w:val="clear" w:color="auto" w:fill="auto"/>
          </w:tcPr>
          <w:p w:rsidR="00B23D00" w:rsidRPr="00B23D00" w:rsidRDefault="00B15D8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23D00" w:rsidRPr="00B23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23D00"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Установите соответствие между ароматическим углеводородом и продуктом (продуктами) его окисления перманганатом калия в присутствии серной кислоты.</w:t>
            </w:r>
          </w:p>
        </w:tc>
      </w:tr>
      <w:tr w:rsidR="00B23D00" w:rsidRPr="00B23D00" w:rsidTr="00B15D85">
        <w:tc>
          <w:tcPr>
            <w:tcW w:w="4679" w:type="dxa"/>
            <w:gridSpan w:val="7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УГЛЕВОДОРОД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ОКИСЛЕНИЯ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изопропилбензол</w:t>
            </w: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этиленгликоль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бензойная кислота и углекислый газ 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-ксилол</w:t>
            </w: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щавелевая кислота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бензиловый</w:t>
            </w:r>
            <w:proofErr w:type="spellEnd"/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спирт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терефталевая кислота </w:t>
            </w:r>
          </w:p>
        </w:tc>
      </w:tr>
      <w:tr w:rsidR="00B23D00" w:rsidRPr="00B23D00" w:rsidTr="00B15D85">
        <w:tc>
          <w:tcPr>
            <w:tcW w:w="85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642" w:type="dxa"/>
            <w:shd w:val="clear" w:color="auto" w:fill="auto"/>
          </w:tcPr>
          <w:p w:rsidR="00B23D00" w:rsidRPr="00B23D00" w:rsidRDefault="00B23D00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бензойная кислота</w:t>
            </w:r>
          </w:p>
        </w:tc>
      </w:tr>
      <w:tr w:rsidR="00B23D00" w:rsidRPr="00B23D00" w:rsidTr="00B15D85">
        <w:tblPrEx>
          <w:tblBorders>
            <w:top w:val="single" w:sz="4" w:space="0" w:color="auto"/>
          </w:tblBorders>
        </w:tblPrEx>
        <w:trPr>
          <w:gridAfter w:val="3"/>
          <w:wAfter w:w="6060" w:type="dxa"/>
        </w:trPr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B23D00" w:rsidRPr="00B23D00" w:rsidTr="00B15D85">
        <w:tblPrEx>
          <w:tblBorders>
            <w:top w:val="single" w:sz="4" w:space="0" w:color="auto"/>
          </w:tblBorders>
        </w:tblPrEx>
        <w:trPr>
          <w:gridAfter w:val="3"/>
          <w:wAfter w:w="6060" w:type="dxa"/>
        </w:trPr>
        <w:tc>
          <w:tcPr>
            <w:tcW w:w="12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00" w:rsidRPr="00B23D00" w:rsidRDefault="00B23D00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D00" w:rsidRDefault="00B23D00" w:rsidP="00B15D85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26"/>
        <w:gridCol w:w="24"/>
        <w:gridCol w:w="397"/>
        <w:gridCol w:w="86"/>
        <w:gridCol w:w="552"/>
        <w:gridCol w:w="16"/>
        <w:gridCol w:w="623"/>
        <w:gridCol w:w="639"/>
        <w:gridCol w:w="639"/>
        <w:gridCol w:w="1279"/>
        <w:gridCol w:w="449"/>
        <w:gridCol w:w="115"/>
        <w:gridCol w:w="425"/>
        <w:gridCol w:w="3544"/>
        <w:gridCol w:w="141"/>
      </w:tblGrid>
      <w:tr w:rsidR="003D0456" w:rsidRPr="003D0456" w:rsidTr="00B15D85">
        <w:trPr>
          <w:gridBefore w:val="1"/>
          <w:wBefore w:w="108" w:type="dxa"/>
        </w:trPr>
        <w:tc>
          <w:tcPr>
            <w:tcW w:w="9355" w:type="dxa"/>
            <w:gridSpan w:val="15"/>
            <w:shd w:val="clear" w:color="auto" w:fill="FFFFFF" w:themeFill="background1"/>
          </w:tcPr>
          <w:p w:rsidR="003D0456" w:rsidRPr="003D0456" w:rsidRDefault="00B15D8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D0456" w:rsidRPr="003D0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D0456"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Какие из утверждений об окислительно-восстановительных процессах верны?</w:t>
            </w:r>
          </w:p>
        </w:tc>
      </w:tr>
      <w:tr w:rsidR="003D0456" w:rsidRPr="003D0456" w:rsidTr="00B15D85">
        <w:trPr>
          <w:gridBefore w:val="1"/>
          <w:wBefore w:w="108" w:type="dxa"/>
        </w:trPr>
        <w:tc>
          <w:tcPr>
            <w:tcW w:w="9355" w:type="dxa"/>
            <w:gridSpan w:val="15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. Оксид азота (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) способен проявлять как окислительные, так и восстановительные свойства..</w:t>
            </w:r>
          </w:p>
        </w:tc>
      </w:tr>
      <w:tr w:rsidR="003D0456" w:rsidRPr="003D0456" w:rsidTr="00B15D85">
        <w:trPr>
          <w:gridBefore w:val="1"/>
          <w:wBefore w:w="108" w:type="dxa"/>
        </w:trPr>
        <w:tc>
          <w:tcPr>
            <w:tcW w:w="9355" w:type="dxa"/>
            <w:gridSpan w:val="15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. Продуктом окисления метилбензола является бензойная кислота.</w:t>
            </w:r>
          </w:p>
        </w:tc>
      </w:tr>
      <w:tr w:rsidR="00B15D85" w:rsidRPr="003D0456" w:rsidTr="00B15D85">
        <w:trPr>
          <w:gridBefore w:val="1"/>
          <w:wBefore w:w="108" w:type="dxa"/>
        </w:trPr>
        <w:tc>
          <w:tcPr>
            <w:tcW w:w="450" w:type="dxa"/>
            <w:gridSpan w:val="2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31" w:type="dxa"/>
            <w:gridSpan w:val="8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верно только А</w:t>
            </w:r>
          </w:p>
        </w:tc>
        <w:tc>
          <w:tcPr>
            <w:tcW w:w="449" w:type="dxa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25" w:type="dxa"/>
            <w:gridSpan w:val="4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B15D85" w:rsidRPr="003D0456" w:rsidTr="00B15D85">
        <w:trPr>
          <w:gridBefore w:val="1"/>
          <w:wBefore w:w="108" w:type="dxa"/>
        </w:trPr>
        <w:tc>
          <w:tcPr>
            <w:tcW w:w="450" w:type="dxa"/>
            <w:gridSpan w:val="2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31" w:type="dxa"/>
            <w:gridSpan w:val="8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верно только Б</w:t>
            </w:r>
          </w:p>
        </w:tc>
        <w:tc>
          <w:tcPr>
            <w:tcW w:w="449" w:type="dxa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25" w:type="dxa"/>
            <w:gridSpan w:val="4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неверны оба суждения </w:t>
            </w:r>
          </w:p>
        </w:tc>
      </w:tr>
      <w:tr w:rsidR="003D0456" w:rsidRPr="003D0456" w:rsidTr="00B1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9"/>
          <w:wBefore w:w="108" w:type="dxa"/>
          <w:wAfter w:w="7854" w:type="dxa"/>
        </w:trPr>
        <w:tc>
          <w:tcPr>
            <w:tcW w:w="93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9322" w:type="dxa"/>
            <w:gridSpan w:val="15"/>
          </w:tcPr>
          <w:p w:rsidR="003D0456" w:rsidRPr="003D0456" w:rsidRDefault="00B15D8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D0456" w:rsidRPr="003D0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D0456"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Установите соответствие между схемой реакции и продуктом (продуктами) окисления </w:t>
            </w:r>
            <w:proofErr w:type="spellStart"/>
            <w:r w:rsidR="003D0456"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алкена</w:t>
            </w:r>
            <w:proofErr w:type="spellEnd"/>
            <w:r w:rsidR="003D0456"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, преимущественно образующимся (образующимися) в результате реакции.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53" w:type="dxa"/>
            <w:gridSpan w:val="13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969" w:type="dxa"/>
            <w:gridSpan w:val="2"/>
          </w:tcPr>
          <w:p w:rsidR="003D0456" w:rsidRPr="003D0456" w:rsidRDefault="003D0456" w:rsidP="00B1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ПРОДУКТ (ПРОДУКТЫ) ОКИСЛЕНИЯ АЛКЕНА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=СНСН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KMnO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28" type="#_x0000_t75" style="width:41.25pt;height:15pt" o:ole="" fillcolor="window">
                  <v:imagedata r:id="rId8" o:title=""/>
                </v:shape>
                <o:OLEObject Type="Embed" ProgID="Word.Picture.8" ShapeID="_x0000_i1028" DrawAspect="Content" ObjectID="_1548061870" r:id="rId9"/>
              </w:object>
            </w: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)―СН(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)―СН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СН=СНСН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1" w:name="_MON_1509129930"/>
            <w:bookmarkEnd w:id="1"/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29" type="#_x0000_t75" style="width:41.25pt;height:15pt" o:ole="" fillcolor="window">
                  <v:imagedata r:id="rId8" o:title=""/>
                </v:shape>
                <o:OLEObject Type="Embed" ProgID="Word.Picture.8" ShapeID="_x0000_i1029" DrawAspect="Content" ObjectID="_1548061871" r:id="rId10"/>
              </w:object>
            </w: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С(О)СН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СООН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=СНСН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 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30" type="#_x0000_t75" style="width:41.25pt;height:15pt" o:ole="" fillcolor="window">
                  <v:imagedata r:id="rId11" o:title=""/>
                </v:shape>
                <o:OLEObject Type="Embed" ProgID="Word.Picture.8" ShapeID="_x0000_i1030" DrawAspect="Content" ObjectID="_1548061872" r:id="rId12"/>
              </w:object>
            </w: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СООН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−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KMnO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31" type="#_x0000_t75" style="width:41.25pt;height:15pt" o:ole="" fillcolor="window">
                  <v:imagedata r:id="rId8" o:title=""/>
                </v:shape>
                <o:OLEObject Type="Embed" ProgID="Word.Picture.8" ShapeID="_x0000_i1031" DrawAspect="Content" ObjectID="_1548061873" r:id="rId13"/>
              </w:object>
            </w:r>
          </w:p>
          <w:p w:rsidR="003D0456" w:rsidRPr="003D0456" w:rsidRDefault="003D0456" w:rsidP="00B1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</w:p>
          <w:p w:rsidR="003D0456" w:rsidRPr="003D0456" w:rsidRDefault="003D0456" w:rsidP="00B1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―СООН + СО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―СООН</w:t>
            </w:r>
          </w:p>
        </w:tc>
      </w:tr>
      <w:tr w:rsidR="003D0456" w:rsidRPr="003D0456" w:rsidTr="003D0456">
        <w:trPr>
          <w:gridAfter w:val="1"/>
          <w:wAfter w:w="141" w:type="dxa"/>
        </w:trPr>
        <w:tc>
          <w:tcPr>
            <w:tcW w:w="534" w:type="dxa"/>
            <w:gridSpan w:val="2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1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44" w:type="dxa"/>
          </w:tcPr>
          <w:p w:rsidR="003D0456" w:rsidRPr="003D0456" w:rsidRDefault="003D0456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―СН(ОН)―СН(ОН)―СН</w:t>
            </w:r>
            <w:r w:rsidRPr="003D04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3D0456" w:rsidRPr="003D0456" w:rsidTr="003D0456">
        <w:tblPrEx>
          <w:tblBorders>
            <w:top w:val="single" w:sz="4" w:space="0" w:color="auto"/>
          </w:tblBorders>
        </w:tblPrEx>
        <w:trPr>
          <w:gridAfter w:val="6"/>
          <w:wAfter w:w="5953" w:type="dxa"/>
        </w:trPr>
        <w:tc>
          <w:tcPr>
            <w:tcW w:w="955" w:type="dxa"/>
            <w:gridSpan w:val="4"/>
            <w:vMerge w:val="restart"/>
            <w:tcBorders>
              <w:right w:val="single" w:sz="4" w:space="0" w:color="auto"/>
            </w:tcBorders>
          </w:tcPr>
          <w:p w:rsidR="003D0456" w:rsidRPr="003D0456" w:rsidRDefault="003D0456" w:rsidP="00B15D85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3D0456" w:rsidRPr="003D0456" w:rsidTr="003D0456">
        <w:tblPrEx>
          <w:tblBorders>
            <w:top w:val="single" w:sz="4" w:space="0" w:color="auto"/>
          </w:tblBorders>
        </w:tblPrEx>
        <w:trPr>
          <w:gridAfter w:val="6"/>
          <w:wAfter w:w="5953" w:type="dxa"/>
        </w:trPr>
        <w:tc>
          <w:tcPr>
            <w:tcW w:w="955" w:type="dxa"/>
            <w:gridSpan w:val="4"/>
            <w:vMerge/>
            <w:tcBorders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Pr="003D0456" w:rsidRDefault="003D0456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0456" w:rsidRDefault="003D0456" w:rsidP="00B15D85"/>
    <w:p w:rsidR="003D0456" w:rsidRDefault="003D0456" w:rsidP="00B15D85">
      <w:pPr>
        <w:rPr>
          <w:noProof/>
          <w:lang w:eastAsia="ru-RU"/>
        </w:rPr>
      </w:pPr>
    </w:p>
    <w:p w:rsidR="00184E25" w:rsidRDefault="00184E25" w:rsidP="00B15D85">
      <w:pPr>
        <w:rPr>
          <w:noProof/>
          <w:lang w:eastAsia="ru-RU"/>
        </w:rPr>
      </w:pPr>
    </w:p>
    <w:p w:rsidR="00184E25" w:rsidRDefault="00B15D85" w:rsidP="00B15D85">
      <w:r w:rsidRPr="00B15D85">
        <w:rPr>
          <w:b/>
          <w:sz w:val="24"/>
          <w:szCs w:val="24"/>
        </w:rPr>
        <w:lastRenderedPageBreak/>
        <w:t>7.</w:t>
      </w:r>
      <w:r w:rsidR="00184E25">
        <w:rPr>
          <w:noProof/>
          <w:lang w:eastAsia="ru-RU"/>
        </w:rPr>
        <w:drawing>
          <wp:inline distT="0" distB="0" distL="0" distR="0">
            <wp:extent cx="5934075" cy="408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25" w:rsidRPr="00184E25" w:rsidRDefault="00B15D85" w:rsidP="00B15D85">
      <w:pPr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B15D85">
        <w:rPr>
          <w:b/>
          <w:sz w:val="24"/>
          <w:szCs w:val="24"/>
        </w:rPr>
        <w:t>8.</w:t>
      </w:r>
      <w:r>
        <w:t xml:space="preserve"> 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COO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bookmarkStart w:id="2" w:name="_MON_1341385318"/>
      <w:bookmarkEnd w:id="2"/>
      <w:r w:rsidR="00184E25" w:rsidRPr="00184E25">
        <w:rPr>
          <w:rFonts w:ascii="Times New Roman" w:eastAsia="Calibri" w:hAnsi="Times New Roman" w:cs="Times New Roman"/>
          <w:sz w:val="24"/>
          <w:szCs w:val="24"/>
        </w:rPr>
        <w:object w:dxaOrig="1423" w:dyaOrig="296">
          <v:shape id="_x0000_i1058" type="#_x0000_t75" style="width:70.5pt;height:15pt" o:ole="" fillcolor="window">
            <v:imagedata r:id="rId15" o:title=""/>
          </v:shape>
          <o:OLEObject Type="Embed" ProgID="Word.Picture.8" ShapeID="_x0000_i1058" DrawAspect="Content" ObjectID="_1548061874" r:id="rId16"/>
        </w:objec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→ К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→ Н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MON_1342887356"/>
      <w:bookmarkEnd w:id="3"/>
      <w:bookmarkStart w:id="4" w:name="_MON_1341385372"/>
      <w:bookmarkEnd w:id="4"/>
      <w:r w:rsidR="00184E25" w:rsidRPr="00184E25">
        <w:rPr>
          <w:rFonts w:ascii="Times New Roman" w:eastAsia="Calibri" w:hAnsi="Times New Roman" w:cs="Times New Roman"/>
          <w:sz w:val="24"/>
          <w:szCs w:val="24"/>
        </w:rPr>
        <w:object w:dxaOrig="856" w:dyaOrig="296">
          <v:shape id="_x0000_i1059" type="#_x0000_t75" style="width:42.75pt;height:15pt" o:ole="" fillcolor="window">
            <v:imagedata r:id="rId17" o:title=""/>
          </v:shape>
          <o:OLEObject Type="Embed" ProgID="Word.Picture.8" ShapeID="_x0000_i1059" DrawAspect="Content" ObjectID="_1548061875" r:id="rId18"/>
        </w:objec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E25" w:rsidRPr="00184E2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184E25" w:rsidRPr="00184E2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184E25" w:rsidRPr="00184E2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4"/>
        <w:gridCol w:w="552"/>
        <w:gridCol w:w="552"/>
        <w:gridCol w:w="2108"/>
        <w:gridCol w:w="449"/>
        <w:gridCol w:w="4218"/>
        <w:gridCol w:w="452"/>
      </w:tblGrid>
      <w:tr w:rsidR="00184E25" w:rsidRPr="00184E25" w:rsidTr="005348E6">
        <w:trPr>
          <w:trHeight w:val="282"/>
        </w:trPr>
        <w:tc>
          <w:tcPr>
            <w:tcW w:w="9570" w:type="dxa"/>
            <w:gridSpan w:val="7"/>
          </w:tcPr>
          <w:p w:rsid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E25" w:rsidRPr="00184E25" w:rsidRDefault="00B15D8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COOK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62" type="#_x0000_t75" style="width:43.5pt;height:15pt" o:ole="" fillcolor="window">
                  <v:imagedata r:id="rId19" o:title=""/>
                </v:shape>
                <o:OLEObject Type="Embed" ProgID="Word.Picture.8" ShapeID="_x0000_i1062" DrawAspect="Content" ObjectID="_1548061876" r:id="rId20"/>
              </w:objec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63" type="#_x0000_t75" style="width:43.5pt;height:15pt" o:ole="" fillcolor="window">
                  <v:imagedata r:id="rId21" o:title=""/>
                </v:shape>
                <o:OLEObject Type="Embed" ProgID="Word.Picture.8" ShapeID="_x0000_i1063" DrawAspect="Content" ObjectID="_1548061877" r:id="rId22"/>
              </w:objec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веществами Х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соответственно являются</w:t>
            </w:r>
          </w:p>
        </w:tc>
      </w:tr>
      <w:tr w:rsidR="00184E25" w:rsidRPr="00184E25" w:rsidTr="005348E6">
        <w:trPr>
          <w:gridAfter w:val="1"/>
          <w:wAfter w:w="467" w:type="dxa"/>
          <w:trHeight w:val="282"/>
        </w:trPr>
        <w:tc>
          <w:tcPr>
            <w:tcW w:w="4316" w:type="dxa"/>
            <w:gridSpan w:val="4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450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37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Cl </w:t>
            </w:r>
          </w:p>
        </w:tc>
      </w:tr>
      <w:tr w:rsidR="00184E25" w:rsidRPr="00184E25" w:rsidTr="005348E6">
        <w:trPr>
          <w:gridAfter w:val="1"/>
          <w:wAfter w:w="467" w:type="dxa"/>
          <w:trHeight w:val="282"/>
        </w:trPr>
        <w:tc>
          <w:tcPr>
            <w:tcW w:w="4316" w:type="dxa"/>
            <w:gridSpan w:val="4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337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84E25" w:rsidRPr="00184E25" w:rsidTr="005348E6">
        <w:trPr>
          <w:gridAfter w:val="1"/>
          <w:wAfter w:w="467" w:type="dxa"/>
          <w:trHeight w:val="282"/>
        </w:trPr>
        <w:tc>
          <w:tcPr>
            <w:tcW w:w="4316" w:type="dxa"/>
            <w:gridSpan w:val="4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50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184E25" w:rsidRPr="00184E25" w:rsidRDefault="00184E25" w:rsidP="00B15D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E25" w:rsidRPr="00184E25" w:rsidTr="00534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7432" w:type="dxa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</w:tcBorders>
          </w:tcPr>
          <w:p w:rsidR="00184E25" w:rsidRPr="00184E25" w:rsidRDefault="00184E25" w:rsidP="00B15D85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55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55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84E25" w:rsidRPr="00184E25" w:rsidTr="00534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7432" w:type="dxa"/>
        </w:trPr>
        <w:tc>
          <w:tcPr>
            <w:tcW w:w="1028" w:type="dxa"/>
            <w:vMerge/>
            <w:tcBorders>
              <w:left w:val="nil"/>
              <w:bottom w:val="nil"/>
            </w:tcBorders>
          </w:tcPr>
          <w:p w:rsidR="00184E25" w:rsidRPr="00184E25" w:rsidRDefault="00184E25" w:rsidP="00B15D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E25" w:rsidRDefault="00184E25" w:rsidP="00B15D85"/>
    <w:tbl>
      <w:tblPr>
        <w:tblW w:w="0" w:type="auto"/>
        <w:tblLook w:val="01E0" w:firstRow="1" w:lastRow="1" w:firstColumn="1" w:lastColumn="1" w:noHBand="0" w:noVBand="0"/>
      </w:tblPr>
      <w:tblGrid>
        <w:gridCol w:w="1023"/>
        <w:gridCol w:w="553"/>
        <w:gridCol w:w="553"/>
        <w:gridCol w:w="2207"/>
        <w:gridCol w:w="5019"/>
      </w:tblGrid>
      <w:tr w:rsidR="00184E25" w:rsidRPr="00184E25" w:rsidTr="00184E25">
        <w:trPr>
          <w:trHeight w:val="282"/>
        </w:trPr>
        <w:tc>
          <w:tcPr>
            <w:tcW w:w="9355" w:type="dxa"/>
            <w:gridSpan w:val="5"/>
          </w:tcPr>
          <w:p w:rsidR="00184E25" w:rsidRPr="00184E25" w:rsidRDefault="00B15D85" w:rsidP="00B15D85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84E25" w:rsidRPr="0018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превращений: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56" w:dyaOrig="296">
                <v:shape id="_x0000_i1066" type="#_x0000_t75" style="width:42.75pt;height:15pt" o:ole="" fillcolor="window">
                  <v:imagedata r:id="rId23" o:title=""/>
                </v:shape>
                <o:OLEObject Type="Embed" ProgID="Word.Picture.8" ShapeID="_x0000_i1066" DrawAspect="Content" ObjectID="_1548061878" r:id="rId24"/>
              </w:objec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5" w:name="_MON_1340965570"/>
            <w:bookmarkEnd w:id="5"/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23" w:dyaOrig="296">
                <v:shape id="_x0000_i1067" type="#_x0000_t75" style="width:70.5pt;height:15pt" o:ole="" fillcolor="window">
                  <v:imagedata r:id="rId25" o:title=""/>
                </v:shape>
                <o:OLEObject Type="Embed" ProgID="Word.Picture.8" ShapeID="_x0000_i1067" DrawAspect="Content" ObjectID="_1548061879" r:id="rId26"/>
              </w:objec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, веществами Х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84E25"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соответственно являются</w:t>
            </w:r>
          </w:p>
        </w:tc>
      </w:tr>
      <w:tr w:rsidR="00184E25" w:rsidRPr="00184E25" w:rsidTr="00184E25">
        <w:trPr>
          <w:gridAfter w:val="1"/>
          <w:wAfter w:w="5019" w:type="dxa"/>
          <w:trHeight w:val="282"/>
        </w:trPr>
        <w:tc>
          <w:tcPr>
            <w:tcW w:w="4336" w:type="dxa"/>
            <w:gridSpan w:val="4"/>
          </w:tcPr>
          <w:p w:rsidR="00184E25" w:rsidRPr="00184E25" w:rsidRDefault="00184E25" w:rsidP="00B15D85">
            <w:pPr>
              <w:keepNext/>
              <w:keepLines/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E25" w:rsidRPr="00184E25" w:rsidTr="00184E25">
        <w:trPr>
          <w:gridAfter w:val="1"/>
          <w:wAfter w:w="5019" w:type="dxa"/>
          <w:trHeight w:val="282"/>
        </w:trPr>
        <w:tc>
          <w:tcPr>
            <w:tcW w:w="4336" w:type="dxa"/>
            <w:gridSpan w:val="4"/>
          </w:tcPr>
          <w:p w:rsidR="00184E25" w:rsidRPr="00184E25" w:rsidRDefault="00184E25" w:rsidP="00B15D85">
            <w:pPr>
              <w:keepNext/>
              <w:keepLines/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E25" w:rsidRPr="00184E25" w:rsidTr="00184E25">
        <w:trPr>
          <w:gridAfter w:val="1"/>
          <w:wAfter w:w="5019" w:type="dxa"/>
          <w:trHeight w:val="282"/>
        </w:trPr>
        <w:tc>
          <w:tcPr>
            <w:tcW w:w="4336" w:type="dxa"/>
            <w:gridSpan w:val="4"/>
          </w:tcPr>
          <w:p w:rsidR="00184E25" w:rsidRPr="00184E25" w:rsidRDefault="00184E25" w:rsidP="00B15D85">
            <w:pPr>
              <w:keepNext/>
              <w:keepLines/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</w:p>
        </w:tc>
      </w:tr>
      <w:tr w:rsidR="00184E25" w:rsidRPr="00184E25" w:rsidTr="0018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226" w:type="dxa"/>
        </w:trPr>
        <w:tc>
          <w:tcPr>
            <w:tcW w:w="1023" w:type="dxa"/>
            <w:vMerge w:val="restart"/>
            <w:tcBorders>
              <w:top w:val="nil"/>
              <w:left w:val="nil"/>
              <w:bottom w:val="nil"/>
            </w:tcBorders>
          </w:tcPr>
          <w:p w:rsidR="00184E25" w:rsidRPr="00184E25" w:rsidRDefault="00184E25" w:rsidP="00B15D85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53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53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84E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84E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84E25" w:rsidRPr="00184E25" w:rsidTr="0018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226" w:type="dxa"/>
        </w:trPr>
        <w:tc>
          <w:tcPr>
            <w:tcW w:w="1023" w:type="dxa"/>
            <w:vMerge/>
            <w:tcBorders>
              <w:left w:val="nil"/>
              <w:bottom w:val="nil"/>
            </w:tcBorders>
          </w:tcPr>
          <w:p w:rsidR="00184E25" w:rsidRPr="00184E25" w:rsidRDefault="00184E25" w:rsidP="00B15D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84E25" w:rsidRPr="00184E25" w:rsidRDefault="00184E25" w:rsidP="00B15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E25" w:rsidRPr="00184E25" w:rsidRDefault="00184E25" w:rsidP="00B15D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  <w:lastRenderedPageBreak/>
        <w:t xml:space="preserve">Нахождение молекулярной формулы вещества </w:t>
      </w:r>
    </w:p>
    <w:p w:rsidR="00184E25" w:rsidRPr="00184E25" w:rsidRDefault="00184E25" w:rsidP="00B15D8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 </w:t>
      </w: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10 л смеси </w:t>
      </w:r>
      <w:proofErr w:type="spellStart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алкена</w:t>
      </w:r>
      <w:proofErr w:type="spellEnd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 с избытком водорода (при </w:t>
      </w:r>
      <w:proofErr w:type="spellStart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н.у</w:t>
      </w:r>
      <w:proofErr w:type="spellEnd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.) пропустили над нагретым платиновым катализатором. Объём смеси уменьшился до 7,2 л. При пропускании той же смеси через избыток бромной воды масса склянки увеличилась на 5,25 г. Определите состав </w:t>
      </w:r>
      <w:proofErr w:type="spellStart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алкена</w:t>
      </w:r>
      <w:proofErr w:type="spellEnd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Ацетиленовый углеводород может максимально присоединить 80 г брома с образованием продукта реакции массой 90 г. Установите молекулярную формулу этого углеводорода.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Ацетиленовый углеводород может максимально присоединить 80 г брома с образованием продукта реакции массой 97 г. Установите молекулярную формулу этого углеводорода.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В результате реакции предельного одноатомного спирта с хлороводородом массой 18,25 г получили органический продукт массой 46,25 г и воду. Определите молекулярную формулу исходного спирта.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Диамин содержит 40% углерода, 46,7% азота по массе, остальное приходится на долю водорода. Установите молекулярную формулу вещества. 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Масса неизвестного объема воздуха равна 0,123 г, а масса такого же объема газообразного </w:t>
      </w:r>
      <w:proofErr w:type="spellStart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алкана</w:t>
      </w:r>
      <w:proofErr w:type="spellEnd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 – 0,246 г (при одинаковых условиях). Определить формулу </w:t>
      </w:r>
      <w:proofErr w:type="spellStart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алкана</w:t>
      </w:r>
      <w:proofErr w:type="spellEnd"/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 xml:space="preserve">. 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Массовая доля кислорода в одноосновной аминокислоте равна 42,67%. Установите молекулярную формулу кислоты.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Массовая доля кислорода в предельной одноосновной карбоновой кислоте равна 43,24%. Установите молекулярную формулу кислоты.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На нейтрализацию 22 г предельной одноосновной кислоты потребовался раствор, содержащий 10 г гидроксида натрия Определите молекулярную формулу кислоты</w:t>
      </w:r>
    </w:p>
    <w:p w:rsidR="00184E25" w:rsidRPr="00184E25" w:rsidRDefault="00184E25" w:rsidP="00B15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</w:p>
    <w:p w:rsidR="00184E25" w:rsidRPr="00184E25" w:rsidRDefault="00184E25" w:rsidP="00B1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 w:rsidRPr="00184E25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t>На полную нейтрализацию раствора, содержащего 18,5 г предельной одноосновной карбоновой кислоты, пошло 500 мл раствора гидроксида натрия, молярная концентрация которого 0,5 моль/л. Определите состав кислоты.</w:t>
      </w:r>
    </w:p>
    <w:p w:rsidR="00184E25" w:rsidRDefault="00184E25" w:rsidP="00B15D85"/>
    <w:sectPr w:rsidR="0018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4DF"/>
    <w:multiLevelType w:val="hybridMultilevel"/>
    <w:tmpl w:val="2F9CC6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F975CF"/>
    <w:multiLevelType w:val="hybridMultilevel"/>
    <w:tmpl w:val="21A41706"/>
    <w:lvl w:ilvl="0" w:tplc="13F60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0"/>
    <w:rsid w:val="001575B6"/>
    <w:rsid w:val="00184E25"/>
    <w:rsid w:val="00324379"/>
    <w:rsid w:val="00356407"/>
    <w:rsid w:val="003D0456"/>
    <w:rsid w:val="005679B6"/>
    <w:rsid w:val="008206DD"/>
    <w:rsid w:val="00B15D85"/>
    <w:rsid w:val="00B23D00"/>
    <w:rsid w:val="00C14503"/>
    <w:rsid w:val="00DD78B1"/>
    <w:rsid w:val="00D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5D4"/>
  <w15:chartTrackingRefBased/>
  <w15:docId w15:val="{2D309343-484A-47E5-A669-B6CD2B6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D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24" Type="http://schemas.openxmlformats.org/officeDocument/2006/relationships/oleObject" Target="embeddings/oleObject10.bin"/><Relationship Id="rId5" Type="http://schemas.openxmlformats.org/officeDocument/2006/relationships/hyperlink" Target="https://ege.yandex.ru/chemistry/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2017-02-08T08:12:00Z</dcterms:created>
  <dcterms:modified xsi:type="dcterms:W3CDTF">2017-02-08T09:15:00Z</dcterms:modified>
</cp:coreProperties>
</file>